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EB" w:rsidRPr="00040023" w:rsidRDefault="00EB61EB" w:rsidP="00040023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bookmarkStart w:id="0" w:name="_GoBack"/>
      <w:bookmarkEnd w:id="0"/>
      <w:r w:rsidRPr="00040023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Методические рекомендации к семинарским занятиям</w:t>
      </w:r>
    </w:p>
    <w:p w:rsidR="00EB61EB" w:rsidRPr="00040023" w:rsidRDefault="00EB61EB" w:rsidP="000400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SMOGR5304 Современные международные отношения и глобальное развитие</w:t>
      </w:r>
    </w:p>
    <w:p w:rsidR="00967245" w:rsidRPr="00040023" w:rsidRDefault="00EB61EB" w:rsidP="000400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Магистратура «Политология», 1 курс, 2020 -20201 </w:t>
      </w:r>
      <w:proofErr w:type="spellStart"/>
      <w:proofErr w:type="gram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</w:p>
    <w:p w:rsidR="00040023" w:rsidRPr="00040023" w:rsidRDefault="00040023" w:rsidP="000400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0023" w:rsidRPr="00040023" w:rsidRDefault="00040023" w:rsidP="00040023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caps/>
          <w:sz w:val="24"/>
          <w:szCs w:val="24"/>
          <w:lang w:val="ru-RU"/>
        </w:rPr>
        <w:t>Модуль 1. Современные теории МО и рамки и методы изучения глобального развития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</w:t>
      </w: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ab/>
        <w:t>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Наука МО, история возникновения, сущность, границы, предмет и объект исследования.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Понимать разницу между философией и социально-общественными науками%</w:t>
      </w:r>
    </w:p>
    <w:p w:rsidR="00040023" w:rsidRPr="00040023" w:rsidRDefault="00040023" w:rsidP="00040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Понимать разницу между естественными и социальными науками;</w:t>
      </w:r>
    </w:p>
    <w:p w:rsidR="00040023" w:rsidRPr="00040023" w:rsidRDefault="00040023" w:rsidP="00040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Раскрыть основы становления науки МО, описать этапы ее становления, ее связь с историей и политологией;</w:t>
      </w:r>
    </w:p>
    <w:p w:rsidR="00040023" w:rsidRPr="00040023" w:rsidRDefault="00040023" w:rsidP="000400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предмет и объект науки МО.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Zoom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МО, как научная и академическая дисциплина - устное сообщение.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2.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«Классические» теории МО: Реализм, Либерализм, Марксизм. 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Цели (результаты обучения) - по прохождению семинара студент должен продемонстрировать способность: знать и уметь описать методологические и концептуальные особенности «Классических» теорий МО: Реализм, Либерализм, Марксизм. Уметь применять их методологические инструментарий для анализа политической реальности МО.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Zoom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Объяснить начало Первой мировой войны с точки зрения «классических» теорий МО.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3.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«Неклассические» теории МО: неореализм, неолиберализм, мир-системный анализ, критическая теория, конструктивизм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Цели (результаты обучения) - по прохождению семинара студент должен продемонстрировать способность: объяснить разницу между «классическими </w:t>
      </w:r>
      <w:proofErr w:type="gramStart"/>
      <w:r w:rsidRPr="00040023">
        <w:rPr>
          <w:rFonts w:ascii="Times New Roman" w:hAnsi="Times New Roman" w:cs="Times New Roman"/>
          <w:sz w:val="24"/>
          <w:szCs w:val="24"/>
          <w:lang w:val="ru-RU"/>
        </w:rPr>
        <w:t>« и</w:t>
      </w:r>
      <w:proofErr w:type="gram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«не классическими» теориями МО, применять их методологические инструментарий для анализа политической реальности МО.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Zoom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Представить кейсы в которых отражены плюсы «неклассических» теорий.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Семинар 4.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>Мировой порядок, глобальная и региональные системы МО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Цели (результаты обучения) - по прохождению семинара студент должен продемонстрировать способность: дифференцировать между типами миропорядка, знать их системообразующие особенности и провести сравнительный анализ политической реальности МО в историческом контексте и применением концепции миропорядка.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Zoom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Сделать сравнительный анализ исторических примеров мирового порядка (многополярность, биполярность,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однополярность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5.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Глобальное развитие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lastRenderedPageBreak/>
        <w:t>- раскрыть сущность аспектов и проблем глобального развития;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критически анализировать процесс реализации ЦРТ и ЦУР.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Zoom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«Цели развития тысячелетия ООН: успех или провал», дебаты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Модуль 1. Список рекомендуемой литературы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(доступно в </w:t>
      </w:r>
      <w:r w:rsidRPr="00040023">
        <w:rPr>
          <w:rFonts w:ascii="Times New Roman" w:hAnsi="Times New Roman" w:cs="Times New Roman"/>
          <w:sz w:val="24"/>
          <w:szCs w:val="24"/>
          <w:lang w:val="en-GB"/>
        </w:rPr>
        <w:t>PDF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в системе </w:t>
      </w:r>
      <w:r w:rsidRPr="00040023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>, см. УМКД «Дополнительный материал»)</w:t>
      </w: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Ачкасов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В. А., &amp;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Ланцов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Бобылев, С. Н., &amp; Соловьева, С. В. (2016). Новые цели для новой экономики. Мир новой экономики, (1).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Карпович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О. (2014). Глобальные проблемы международных отношений в контексте формирующегося многополярного мира. Международная жизнь, (5), 87-102.</w:t>
      </w:r>
    </w:p>
    <w:p w:rsidR="00040023" w:rsidRPr="00040023" w:rsidRDefault="00040023" w:rsidP="00040023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040023" w:rsidRPr="00040023" w:rsidRDefault="00040023" w:rsidP="00040023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Модуль 2. Практика МО и мировые политические процессы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6.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Современная система МО: режимы и институты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- перечислить наиболее существенные режимы и институты в современной системе МО,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критически оценить их современное состояние.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Критически оценить современное состояние режимов и институтов МО, привести примеры.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7.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Политическая сфера МО и международного сотрудничества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раскрыть содержание понятия «Политическая сфера МО и международного сотрудничества»;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классифицировать средства и формы мирового сотрудничества по степени их 1) популярности, 2) эффективности.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Классифицировать средства и формы мирового сотрудничества по степени их 1) популярности, 2) эффективности.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Семинар 8.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>Сфера поддержания безопасности (военно-политический аспект): глобальный и региональной уровень.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раскрыть сажание понятий «международная безопасность</w:t>
      </w:r>
      <w:proofErr w:type="gramStart"/>
      <w:r w:rsidRPr="00040023">
        <w:rPr>
          <w:rFonts w:ascii="Times New Roman" w:hAnsi="Times New Roman" w:cs="Times New Roman"/>
          <w:sz w:val="24"/>
          <w:szCs w:val="24"/>
          <w:lang w:val="ru-RU"/>
        </w:rPr>
        <w:t>»,  «</w:t>
      </w:r>
      <w:proofErr w:type="gramEnd"/>
      <w:r w:rsidRPr="00040023">
        <w:rPr>
          <w:rFonts w:ascii="Times New Roman" w:hAnsi="Times New Roman" w:cs="Times New Roman"/>
          <w:sz w:val="24"/>
          <w:szCs w:val="24"/>
          <w:lang w:val="ru-RU"/>
        </w:rPr>
        <w:t>поддержание безопасности» и «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предотврощение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угрозы миру» - дифференцировать механизмы и институты безопасности на глобальном и региональном уровне;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описать этапы развития и современное состояния системы региональной безопасности, участником которой является РК.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Описать этапы развития и современное состояния системы региональной безопасности, участником которой является РК.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Семинар 9.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>Нетрадиционные угрозы безопасности: глобальный и региональной уровень.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дифференцировать между традиционными и не традиционными угрозами безопасность;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критически оценить возможности и намерения мирового сообщества противостоять нетрадиционным угрозам.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Критически оценить возможности и намерения мирового сообщества противостоять нетрадиционным угрозам.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10.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Экономическая сфера международного взаимодействия государств и глобализация.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раскрыть содержание экономического измерение международного сотрудничества на современном этапе;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привести аргументы в пользу и против процесса экономической глобализации.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Привести аргументы в пользу и против процесса экономической глобализации.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Модуль 2 - Список рекомендуемой литературы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(доступно в PDF в системе UNIVER, см. УМКД «Дополнительный материал»):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Ачкасов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В. А., &amp;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Ланцов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Ланцов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С. А., &amp;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Усмонов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Елфимов, В. А. (1998). Международный режим нераспространения ядерного оружия: политические аспекты функционирования.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Снапковский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В. Е. (2000). Международные организации в системе международных отношений.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Шинкарецкая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Г. Г. (2010). Судебные средства разрешения международных споров (тенденции развития). Ученые </w:t>
      </w:r>
      <w:proofErr w:type="gram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России.—</w:t>
      </w:r>
      <w:proofErr w:type="gram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Режим доступа:&lt; http://www.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famous-scientists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ru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list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/1001&gt;.—Дата доступа, 7.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Иванов, Г. И., &amp;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Тарасьянц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Е. В. (2006). Права человека.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Карташкин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В. А. (2013). Права человека и международная безопасность. Труды Института государства и права Российской академии наук, (1).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Финник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С. Г. (2013). Международный валютный фонд в системе международных экономических организаций.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і практика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правознавства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2(4).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Тукаев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А. А. (2018). Роль ООН в развитии МЭО. Редакционная коллегия, 321.</w:t>
      </w:r>
    </w:p>
    <w:p w:rsidR="00040023" w:rsidRPr="00040023" w:rsidRDefault="00040023" w:rsidP="00040023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040023" w:rsidRPr="00040023" w:rsidRDefault="00040023" w:rsidP="00040023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Модуль 3. Казахстан в современной системе МО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11.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на мировой арене: участие в организациях, договорах и режимах (политика и безопасность).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Pr="00040023">
        <w:rPr>
          <w:rFonts w:ascii="Times New Roman" w:hAnsi="Times New Roman" w:cs="Times New Roman"/>
          <w:sz w:val="24"/>
          <w:szCs w:val="24"/>
        </w:rPr>
        <w:t xml:space="preserve">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>знать и уметь критический оценить участие Казахстана в организациях, договорах и режимах (политика и безопасность) на мировой арене.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Критический анализ участия Казахстана в организациях, договорах и режимах (политика и безопасность) на мировой арене.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12.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на мировой арене, инициативы и достижения (политика и безопасность)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Цели (результаты обучения) - по прохождению семинара студент должен продемонстрировать способность: знать основные цели и содержание политики рогноз Казахстана на мировой арене, инициативы и достижения в области безопасности) и деть прогноз дальнейшего ее развития.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Прогноз дальнейшей политики Казахстана на мировой арене (политика и безопасность).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13.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на мировой арене: участие в организациях, договорах и режимах (экономика и торговля).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Цели (результаты обучения) - по прохождению семинара студент должен продемонстрировать способность: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раскрыть этапы, цели и форматы участия Казахстана в организациях, договорах и режимах (экономика и торговля);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проиллюстрировать национальные интересы РК в сфере экономики на глобальном и региональном уровнях и оценить эффективность политики их продвижения.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Проиллюстрировать национальные интересы РК в сфере экономики на глобальном и региональном уровнях и оценить эффективность политики их продвижения.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14.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Внешняя политика Казахстана: многовекторность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знать содержание понятия «многовекторность»;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«анализировать цели, задачи, направления и аспекты многовекторной политики Казахстана;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провести критический анализ плюсов и минусов многовекторной политики Казахстана.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Критический анализ плюсов и минусов многовекторной политики Казахстана.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>Семинар 15.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Внешняя политика Казахстана на региональном уровне: участие в организациях, договорах и режимах. Инициативы и достижения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знать содержание и цели внешнеполитических инициативы и шагов Казахстана на региональном уровне в организациях, договорах и режимах;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- проиллюстрировать наиболее важные примеры успешной политики РК в регионе, привести аргументы.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Форма проведения - Вебинар MS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Teams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- Проиллюстрировать наиболее важные примеры успешной политики РК в регионе, привести аргументы.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Модуль 3 - Список рекомендуемой литературы </w:t>
      </w:r>
      <w:r w:rsidRPr="00040023">
        <w:rPr>
          <w:rFonts w:ascii="Times New Roman" w:hAnsi="Times New Roman" w:cs="Times New Roman"/>
          <w:sz w:val="24"/>
          <w:szCs w:val="24"/>
          <w:lang w:val="ru-RU"/>
        </w:rPr>
        <w:t>(доступно в PDF в системе UNIVER, см. УМКД «Дополнительный материал»):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Назарбаев, Н. А. (2017). Взгляд в будущее: модернизация общественного сознания. Казахстанская правда, 13(71), 1.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Назарбаев, Н. А. (2007). Новый Казахстан в новом мире. Казахстанская правда, 1(33), 1.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Токаев, К. К. (2000). Внешняя политика Казахстана в условиях глобализации. Алматы: Онер.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Токаев, К. К. (2001). Дипломатия Республики Казахстан. Астана: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Елорда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552, 274.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Амангельдин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Жанбулатова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Р., &amp;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Малинбаева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Concorde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(3).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Мармонтова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Лаумулин.М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., (2011). Некоторые проблемы современной внешней политики Казахстана. Центральная Азия и Кавказ, 14(1).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Жакьянова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А. М. (2017). Ресурсы «мягкой силы» во внешней политике Казахстана. Дискурс-Пи, 14(1).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Жанбулатова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Concorde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(5).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Нугманова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Нурымбетова Г., </w:t>
      </w: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Кудайбергенов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 xml:space="preserve"> Р. (2010). Внешнеполитические инициативы Президента Республики Казахстан Н.А. Назарбаева 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40023">
        <w:rPr>
          <w:rFonts w:ascii="Times New Roman" w:hAnsi="Times New Roman" w:cs="Times New Roman"/>
          <w:sz w:val="24"/>
          <w:szCs w:val="24"/>
          <w:lang w:val="ru-RU"/>
        </w:rPr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040023" w:rsidRPr="00040023" w:rsidRDefault="00040023" w:rsidP="000400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0023">
        <w:rPr>
          <w:rFonts w:ascii="Times New Roman" w:hAnsi="Times New Roman" w:cs="Times New Roman"/>
          <w:sz w:val="24"/>
          <w:szCs w:val="24"/>
          <w:lang w:val="ru-RU"/>
        </w:rPr>
        <w:t>Фаизова</w:t>
      </w:r>
      <w:proofErr w:type="spellEnd"/>
      <w:r w:rsidRPr="00040023">
        <w:rPr>
          <w:rFonts w:ascii="Times New Roman" w:hAnsi="Times New Roman" w:cs="Times New Roman"/>
          <w:sz w:val="24"/>
          <w:szCs w:val="24"/>
          <w:lang w:val="ru-RU"/>
        </w:rPr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</w:r>
    </w:p>
    <w:p w:rsidR="00040023" w:rsidRPr="00040023" w:rsidRDefault="00040023" w:rsidP="0004002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EB61EB" w:rsidRPr="00040023" w:rsidRDefault="00EB61EB" w:rsidP="00EB61EB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61EB" w:rsidRPr="0004002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D3D"/>
    <w:multiLevelType w:val="hybridMultilevel"/>
    <w:tmpl w:val="4148CDDE"/>
    <w:lvl w:ilvl="0" w:tplc="97C4D8D6">
      <w:start w:val="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EB"/>
    <w:rsid w:val="00040023"/>
    <w:rsid w:val="00967245"/>
    <w:rsid w:val="00E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0489"/>
  <w15:chartTrackingRefBased/>
  <w15:docId w15:val="{88330EA9-CD0F-4C95-9196-F59ED3EB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2020-10-18T23:47:00Z</dcterms:created>
  <dcterms:modified xsi:type="dcterms:W3CDTF">2020-10-18T23:47:00Z</dcterms:modified>
</cp:coreProperties>
</file>